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9" w:left="0"/>
        <w:jc w:val="both"/>
        <w:outlineLvl w:val="2"/>
        <w:rPr/>
      </w:pPr>
      <w:r>
        <w:rPr>
          <w:rFonts w:eastAsia="Times New Roman" w:cs="Times New Roman" w:ascii="Tinos" w:hAnsi="Tinos"/>
          <w:bCs/>
          <w:sz w:val="28"/>
          <w:szCs w:val="28"/>
          <w:lang w:eastAsia="ru-RU"/>
        </w:rPr>
        <w:t>В связи с преобразованием всех поселений, входящих в состав Тотемского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Тотемского муниципального округа Вологодской области (Закон Вологодской области от 28 апреля 2022 г. № 5109-ОЗ) и отсутствием муниципальных нормативных правовых актов, содержащих обязательные требования, план на 2023 год не формировался.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DocSecurity>0</DocSecurity>
  <Pages>1</Pages>
  <Words>58</Words>
  <Characters>426</Characters>
  <CharactersWithSpaces>483</CharactersWithSpaces>
  <Paragraphs>1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2023-11-10T11:12:45Z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