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spacing w:lineRule="auto" w:line="240" w:before="0" w:after="0"/>
        <w:ind w:hanging="0" w:left="0" w:right="0"/>
        <w:jc w:val="right"/>
        <w:outlineLvl w:val="0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  <w:t>Утвержден</w:t>
      </w:r>
    </w:p>
    <w:p>
      <w:pPr>
        <w:pStyle w:val="Normal"/>
        <w:widowControl/>
        <w:spacing w:lineRule="auto" w:line="240" w:before="0" w:after="0"/>
        <w:ind w:hanging="0" w:left="0" w:right="0"/>
        <w:jc w:val="right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  <w:t>решением Муниципального Собрания</w:t>
      </w:r>
    </w:p>
    <w:p>
      <w:pPr>
        <w:pStyle w:val="Normal"/>
        <w:widowControl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ind w:hanging="0" w:left="0" w:right="0"/>
        <w:jc w:val="right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  <w:t>Тотемского муниципального округа</w:t>
      </w:r>
    </w:p>
    <w:p>
      <w:pPr>
        <w:pStyle w:val="Normal"/>
        <w:widowControl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ind w:hanging="0" w:left="0" w:right="0"/>
        <w:jc w:val="right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  <w:t xml:space="preserve"> </w:t>
      </w:r>
      <w:r>
        <w:rPr>
          <w:color w:val="000000"/>
          <w:spacing w:val="0"/>
          <w:kern w:val="0"/>
          <w:sz w:val="28"/>
          <w:szCs w:val="20"/>
        </w:rPr>
        <w:t xml:space="preserve">от </w:t>
      </w:r>
      <w:r>
        <w:rPr>
          <w:color w:val="000000"/>
          <w:spacing w:val="0"/>
          <w:kern w:val="0"/>
          <w:sz w:val="28"/>
          <w:szCs w:val="20"/>
        </w:rPr>
        <w:t>30</w:t>
      </w:r>
      <w:r>
        <w:rPr>
          <w:color w:val="000000"/>
          <w:spacing w:val="0"/>
          <w:kern w:val="0"/>
          <w:sz w:val="28"/>
          <w:szCs w:val="20"/>
        </w:rPr>
        <w:t>.</w:t>
      </w:r>
      <w:r>
        <w:rPr>
          <w:color w:val="000000"/>
          <w:spacing w:val="0"/>
          <w:kern w:val="0"/>
          <w:sz w:val="28"/>
          <w:szCs w:val="20"/>
        </w:rPr>
        <w:t>05</w:t>
      </w:r>
      <w:r>
        <w:rPr>
          <w:color w:val="000000"/>
          <w:spacing w:val="0"/>
          <w:kern w:val="0"/>
          <w:sz w:val="28"/>
          <w:szCs w:val="20"/>
        </w:rPr>
        <w:t xml:space="preserve">.2025 № </w:t>
      </w:r>
      <w:r>
        <w:rPr>
          <w:color w:val="000000"/>
          <w:spacing w:val="0"/>
          <w:kern w:val="0"/>
          <w:sz w:val="28"/>
          <w:szCs w:val="20"/>
        </w:rPr>
        <w:t>41</w:t>
      </w:r>
    </w:p>
    <w:p>
      <w:pPr>
        <w:pStyle w:val="Normal"/>
        <w:widowControl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ind w:hanging="0" w:left="0" w:right="0"/>
        <w:jc w:val="right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  <w:t>(приложение № 5)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  <w:t xml:space="preserve">Отчет об использовании бюджетных ассигнований 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  <w:t>резервного фонда администрации округа</w:t>
      </w:r>
    </w:p>
    <w:p>
      <w:pPr>
        <w:pStyle w:val="Normal"/>
        <w:widowControl/>
        <w:spacing w:lineRule="auto" w:line="240" w:before="0" w:after="0"/>
        <w:ind w:hanging="0" w:left="0" w:right="0"/>
        <w:jc w:val="center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  <w:t>за 2024 год</w:t>
      </w:r>
    </w:p>
    <w:p>
      <w:pPr>
        <w:pStyle w:val="Normal"/>
        <w:widowControl/>
        <w:spacing w:lineRule="auto" w:line="240" w:before="0" w:after="0"/>
        <w:ind w:hanging="0" w:left="0" w:right="0"/>
        <w:jc w:val="center"/>
        <w:rPr>
          <w:b/>
          <w:sz w:val="28"/>
        </w:rPr>
      </w:pPr>
      <w:r>
        <w:rPr>
          <w:b/>
          <w:color w:val="000000"/>
          <w:spacing w:val="0"/>
          <w:kern w:val="0"/>
          <w:sz w:val="28"/>
          <w:szCs w:val="20"/>
        </w:rPr>
        <w:t xml:space="preserve">                                                                 </w:t>
      </w:r>
    </w:p>
    <w:p>
      <w:pPr>
        <w:pStyle w:val="Normal"/>
        <w:widowControl/>
        <w:spacing w:lineRule="auto" w:line="240" w:before="0" w:after="0"/>
        <w:ind w:hanging="0" w:left="0" w:right="0"/>
        <w:jc w:val="right"/>
        <w:rPr>
          <w:sz w:val="28"/>
        </w:rPr>
      </w:pPr>
      <w:r>
        <w:rPr>
          <w:color w:val="000000"/>
          <w:spacing w:val="0"/>
          <w:kern w:val="0"/>
          <w:sz w:val="28"/>
          <w:szCs w:val="20"/>
        </w:rPr>
        <w:t xml:space="preserve">                                                                                                         </w:t>
      </w:r>
      <w:r>
        <w:rPr>
          <w:color w:val="000000"/>
          <w:spacing w:val="0"/>
          <w:kern w:val="0"/>
          <w:sz w:val="28"/>
          <w:szCs w:val="20"/>
        </w:rPr>
        <w:t>тыс. руб.</w:t>
      </w:r>
    </w:p>
    <w:tbl>
      <w:tblPr>
        <w:tblStyle w:val="Style_1"/>
        <w:tblpPr w:vertAnchor="text" w:horzAnchor="text" w:leftFromText="180" w:rightFromText="180" w:tblpX="-31" w:tblpY="17"/>
        <w:tblW w:w="1024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416"/>
        <w:gridCol w:w="1416"/>
      </w:tblGrid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0"/>
              </w:numPr>
              <w:tabs>
                <w:tab w:val="clear" w:pos="708"/>
                <w:tab w:val="left" w:pos="7965" w:leader="none"/>
                <w:tab w:val="left" w:pos="8490" w:leader="none"/>
              </w:tabs>
              <w:spacing w:lineRule="auto" w:line="240" w:before="0" w:after="0"/>
              <w:ind w:hanging="360" w:left="426" w:right="0"/>
              <w:contextualSpacing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7965" w:leader="none"/>
                <w:tab w:val="left" w:pos="8490" w:leader="none"/>
              </w:tabs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Предупреждение и ликвидация чрезвычайных ситуаций природного и техногенного характера</w:t>
            </w:r>
          </w:p>
          <w:p>
            <w:pPr>
              <w:pStyle w:val="Normal"/>
              <w:widowControl/>
              <w:tabs>
                <w:tab w:val="clear" w:pos="708"/>
                <w:tab w:val="left" w:pos="7965" w:leader="none"/>
                <w:tab w:val="left" w:pos="8490" w:leader="none"/>
              </w:tabs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7965" w:leader="none"/>
                <w:tab w:val="left" w:pos="8490" w:leader="none"/>
              </w:tabs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65" w:leader="none"/>
                <w:tab w:val="left" w:pos="8490" w:leader="none"/>
              </w:tabs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413,5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0"/>
              </w:numPr>
              <w:tabs>
                <w:tab w:val="clear" w:pos="708"/>
                <w:tab w:val="left" w:pos="7965" w:leader="none"/>
                <w:tab w:val="left" w:pos="8490" w:leader="none"/>
              </w:tabs>
              <w:spacing w:lineRule="auto" w:line="240" w:before="0" w:after="0"/>
              <w:ind w:hanging="360" w:left="426" w:right="0"/>
              <w:contextualSpacing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</w:tabs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Проведение мероприятий и осуществление выплат непредвиденного характера (на основании письменного разрешения главы Тотемского муниципального округа)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7965" w:leader="none"/>
                <w:tab w:val="left" w:pos="8490" w:leader="none"/>
              </w:tabs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2218,2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/>
              <w:tabs>
                <w:tab w:val="clear" w:pos="708"/>
                <w:tab w:val="left" w:pos="7965" w:leader="none"/>
                <w:tab w:val="left" w:pos="8490" w:leader="none"/>
              </w:tabs>
              <w:spacing w:lineRule="auto" w:line="240" w:before="0" w:after="0"/>
              <w:ind w:hanging="0" w:left="0" w:right="0"/>
              <w:contextualSpacing/>
              <w:jc w:val="left"/>
              <w:rPr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Всего расходов</w:t>
              <w:tab/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</w:tabs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7965" w:leader="none"/>
                <w:tab w:val="left" w:pos="8490" w:leader="none"/>
              </w:tabs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65" w:leader="none"/>
                <w:tab w:val="left" w:pos="8490" w:leader="none"/>
              </w:tabs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2631,7</w:t>
            </w:r>
          </w:p>
        </w:tc>
      </w:tr>
    </w:tbl>
    <w:p>
      <w:pPr>
        <w:pStyle w:val="Normal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oto Serif CJK SC" w:cs="Free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oto Serif CJK SC" w:cs="Free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DefaultParagraphFont">
    <w:name w:val="Default Paragraph Font"/>
    <w:link w:val="DefaultParagraphFont1"/>
    <w:qFormat/>
    <w:rPr/>
  </w:style>
  <w:style w:type="character" w:styleId="WW8Num1z5">
    <w:name w:val="WW8Num1z5"/>
    <w:link w:val="WW8Num1z51"/>
    <w:qFormat/>
    <w:rPr/>
  </w:style>
  <w:style w:type="character" w:styleId="WW8Num3z7">
    <w:name w:val="WW8Num3z7"/>
    <w:link w:val="WW8Num3z7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3z1">
    <w:name w:val="WW8Num3z1"/>
    <w:link w:val="WW8Num3z1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3z5">
    <w:name w:val="WW8Num3z5"/>
    <w:link w:val="WW8Num3z5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3z4">
    <w:name w:val="WW8Num3z4"/>
    <w:link w:val="WW8Num3z41"/>
    <w:qFormat/>
    <w:rPr/>
  </w:style>
  <w:style w:type="character" w:styleId="WW8Num2z5">
    <w:name w:val="WW8Num2z5"/>
    <w:link w:val="WW8Num2z51"/>
    <w:qFormat/>
    <w:rPr/>
  </w:style>
  <w:style w:type="character" w:styleId="Style9">
    <w:name w:val="Содержимое таблицы"/>
    <w:link w:val="14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1">
    <w:name w:val="Название1"/>
    <w:link w:val="111"/>
    <w:qFormat/>
    <w:rPr>
      <w:i/>
      <w:sz w:val="24"/>
    </w:rPr>
  </w:style>
  <w:style w:type="character" w:styleId="ListParagraph">
    <w:name w:val="List Paragraph"/>
    <w:link w:val="ListParagraph1"/>
    <w:qFormat/>
    <w:rPr/>
  </w:style>
  <w:style w:type="character" w:styleId="WW8Num1z0">
    <w:name w:val="WW8Num1z0"/>
    <w:link w:val="WW8Num1z01"/>
    <w:qFormat/>
    <w:rPr/>
  </w:style>
  <w:style w:type="character" w:styleId="WW8Num1z6">
    <w:name w:val="WW8Num1z6"/>
    <w:link w:val="WW8Num1z61"/>
    <w:qFormat/>
    <w:rPr/>
  </w:style>
  <w:style w:type="character" w:styleId="Textbody">
    <w:name w:val="Text body"/>
    <w:qFormat/>
    <w:rPr/>
  </w:style>
  <w:style w:type="character" w:styleId="Style10">
    <w:name w:val="Заголовок таблицы"/>
    <w:basedOn w:val="Style9"/>
    <w:link w:val="15"/>
    <w:qFormat/>
    <w:rPr>
      <w:b/>
    </w:rPr>
  </w:style>
  <w:style w:type="character" w:styleId="WW8Num2z2">
    <w:name w:val="WW8Num2z2"/>
    <w:link w:val="WW8Num2z2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3z2">
    <w:name w:val="WW8Num3z2"/>
    <w:link w:val="WW8Num3z21"/>
    <w:qFormat/>
    <w:rPr/>
  </w:style>
  <w:style w:type="character" w:styleId="WW8Num1z8">
    <w:name w:val="WW8Num1z8"/>
    <w:link w:val="WW8Num1z81"/>
    <w:qFormat/>
    <w:rPr/>
  </w:style>
  <w:style w:type="character" w:styleId="WW8Num1z1">
    <w:name w:val="WW8Num1z1"/>
    <w:link w:val="WW8Num1z11"/>
    <w:qFormat/>
    <w:rPr/>
  </w:style>
  <w:style w:type="character" w:styleId="WW8Num2z0">
    <w:name w:val="WW8Num2z0"/>
    <w:link w:val="WW8Num2z01"/>
    <w:qFormat/>
    <w:rPr/>
  </w:style>
  <w:style w:type="character" w:styleId="WW8Num1z2">
    <w:name w:val="WW8Num1z2"/>
    <w:link w:val="WW8Num1z2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8Num2z4">
    <w:name w:val="WW8Num2z4"/>
    <w:link w:val="WW8Num2z41"/>
    <w:qFormat/>
    <w:rPr/>
  </w:style>
  <w:style w:type="character" w:styleId="11">
    <w:name w:val="Указатель1"/>
    <w:link w:val="112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List1">
    <w:name w:val="List1"/>
    <w:basedOn w:val="Textbody"/>
    <w:qFormat/>
    <w:rPr/>
  </w:style>
  <w:style w:type="character" w:styleId="WW8Num2z3">
    <w:name w:val="WW8Num2z3"/>
    <w:link w:val="WW8Num2z31"/>
    <w:qFormat/>
    <w:rPr/>
  </w:style>
  <w:style w:type="character" w:styleId="WW8Num3z8">
    <w:name w:val="WW8Num3z8"/>
    <w:link w:val="WW8Num3z81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11">
    <w:name w:val="Маркеры списка"/>
    <w:link w:val="16"/>
    <w:qFormat/>
    <w:rPr>
      <w:rFonts w:ascii="OpenSymbol" w:hAnsi="OpenSymbol"/>
    </w:rPr>
  </w:style>
  <w:style w:type="character" w:styleId="WW8Num3z6">
    <w:name w:val="WW8Num3z6"/>
    <w:link w:val="WW8Num3z61"/>
    <w:qFormat/>
    <w:rPr/>
  </w:style>
  <w:style w:type="character" w:styleId="WW8Num1z4">
    <w:name w:val="WW8Num1z4"/>
    <w:link w:val="WW8Num1z4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1z3">
    <w:name w:val="WW8Num1z3"/>
    <w:link w:val="WW8Num1z31"/>
    <w:qFormat/>
    <w:rPr/>
  </w:style>
  <w:style w:type="character" w:styleId="Style12">
    <w:name w:val="Заголовок"/>
    <w:link w:val="13"/>
    <w:qFormat/>
    <w:rPr>
      <w:rFonts w:ascii="Arial" w:hAnsi="Arial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3z0">
    <w:name w:val="WW8Num3z0"/>
    <w:link w:val="WW8Num3z01"/>
    <w:qFormat/>
    <w:rPr/>
  </w:style>
  <w:style w:type="character" w:styleId="WW8Num2z7">
    <w:name w:val="WW8Num2z7"/>
    <w:link w:val="WW8Num2z71"/>
    <w:qFormat/>
    <w:rPr/>
  </w:style>
  <w:style w:type="character" w:styleId="WW8Num2z1">
    <w:name w:val="WW8Num2z1"/>
    <w:link w:val="WW8Num2z11"/>
    <w:qFormat/>
    <w:rPr/>
  </w:style>
  <w:style w:type="character" w:styleId="WW8Num2z6">
    <w:name w:val="WW8Num2z6"/>
    <w:link w:val="WW8Num2z6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13">
    <w:name w:val="Символ нумерации"/>
    <w:link w:val="17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12">
    <w:name w:val="Основной шрифт абзаца1"/>
    <w:link w:val="113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WW8Num2z8">
    <w:name w:val="WW8Num2z8"/>
    <w:link w:val="WW8Num2z81"/>
    <w:qFormat/>
    <w:rPr/>
  </w:style>
  <w:style w:type="character" w:styleId="WW8Num1z7">
    <w:name w:val="WW8Num1z7"/>
    <w:link w:val="WW8Num1z7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WW8Num3z3">
    <w:name w:val="WW8Num3z3"/>
    <w:link w:val="WW8Num3z31"/>
    <w:qFormat/>
    <w:rPr/>
  </w:style>
  <w:style w:type="paragraph" w:styleId="13">
    <w:name w:val="Заголовок1"/>
    <w:basedOn w:val="Normal"/>
    <w:next w:val="BodyText"/>
    <w:link w:val="Style12"/>
    <w:qFormat/>
    <w:pPr>
      <w:keepNext w:val="true"/>
      <w:widowControl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widowControl/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51">
    <w:name w:val="WW8Num3z51"/>
    <w:link w:val="WW8Num3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Содержимое таблицы1"/>
    <w:basedOn w:val="Normal"/>
    <w:link w:val="Style9"/>
    <w:qFormat/>
    <w:pPr/>
    <w:rPr/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1">
    <w:name w:val="Название11"/>
    <w:basedOn w:val="Normal"/>
    <w:link w:val="1"/>
    <w:qFormat/>
    <w:pPr>
      <w:widowControl/>
      <w:spacing w:before="120" w:after="120"/>
    </w:pPr>
    <w:rPr>
      <w:i/>
      <w:sz w:val="24"/>
    </w:rPr>
  </w:style>
  <w:style w:type="paragraph" w:styleId="ListParagraph1">
    <w:name w:val="List Paragraph1"/>
    <w:basedOn w:val="Normal"/>
    <w:link w:val="ListParagraph"/>
    <w:qFormat/>
    <w:pPr>
      <w:widowControl/>
      <w:spacing w:before="0" w:after="0"/>
      <w:ind w:left="720"/>
      <w:contextualSpacing/>
    </w:pPr>
    <w:rPr/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Заголовок таблицы1"/>
    <w:basedOn w:val="14"/>
    <w:link w:val="Style10"/>
    <w:qFormat/>
    <w:pPr>
      <w:widowControl/>
      <w:jc w:val="center"/>
    </w:pPr>
    <w:rPr>
      <w:b/>
    </w:rPr>
  </w:style>
  <w:style w:type="paragraph" w:styleId="WW8Num2z21">
    <w:name w:val="WW8Num2z21"/>
    <w:link w:val="WW8Num2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Указатель11"/>
    <w:basedOn w:val="Normal"/>
    <w:link w:val="11"/>
    <w:qFormat/>
    <w:pPr/>
    <w:rPr/>
  </w:style>
  <w:style w:type="paragraph" w:styleId="WW8Num2z31">
    <w:name w:val="WW8Num2z31"/>
    <w:link w:val="WW8Num2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Маркеры списка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Символ нумерации1"/>
    <w:link w:val="Style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Основной шрифт абзаца11"/>
    <w:link w:val="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2z81">
    <w:name w:val="WW8Num2z81"/>
    <w:link w:val="WW8Num2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Содержимое врезки"/>
    <w:basedOn w:val="Normal"/>
    <w:qFormat/>
    <w:pPr/>
    <w:rPr/>
  </w:style>
  <w:style w:type="table" w:styleId="Style_62">
    <w:name w:val="Table Grid"/>
    <w:basedOn w:val="Style_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LibreOffice/24.2.3.2$Linux_X86_64 LibreOffice_project/420$Build-2</Application>
  <AppVersion>15.0000</AppVersion>
  <Pages>1</Pages>
  <Words>57</Words>
  <Characters>431</Characters>
  <CharactersWithSpaces>646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2025-05-22T05:49:18Z</dcterms:created>
  <dc:creator/>
  <dc:description/>
  <dc:language>ru-RU</dc:language>
  <cp:lastModifiedBy/>
  <dcterms:modified xsi:type="dcterms:W3CDTF">2025-06-02T10:00:53Z</dcterms:modified>
  <cp:revision>1</cp:revision>
  <dc:subject/>
  <dc:title/>
</cp:coreProperties>
</file>