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exact" w:line="312"/>
        <w:ind w:left="10" w:right="0" w:firstLine="144"/>
        <w:jc w:val="center"/>
        <w:rPr>
          <w:spacing w:val="-5"/>
          <w:sz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 xml:space="preserve">Оповещение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Провести общественные обсуждения по  проекту  планировки и проекту межевания  </w:t>
      </w:r>
      <w:r>
        <w:rPr>
          <w:rStyle w:val="Strong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территории  по объекту: «Котельная с тепловой сетью в п.Текстильщики Тотемского муниципального района»,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13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24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проект планировки и проект межевания территории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13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24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года.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  <w:bCs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LibreOffice/7.4.2.3$Windows_X86_64 LibreOffice_project/382eef1f22670f7f4118c8c2dd222ec7ad009daf</Application>
  <AppVersion>15.0000</AppVersion>
  <Pages>1</Pages>
  <Words>212</Words>
  <Characters>1446</Characters>
  <CharactersWithSpaces>1694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2023-04-03T14:12:47Z</cp:lastPrinted>
  <dcterms:modified xsi:type="dcterms:W3CDTF">2023-04-07T11:55:04Z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