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Fonts w:cs="Times New Roman" w:ascii="Times New Roman" w:hAnsi="Times New Roman"/>
          <w:bCs/>
          <w:sz w:val="28"/>
          <w:szCs w:val="28"/>
        </w:rPr>
        <w:t xml:space="preserve">Провести общественные обсуждения по проекту схемы расположения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земельного участка на котором расположен многоквартирный дом, в кадастровом квартале 35:14:0701001, площадью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5769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, город Тотьма,  переулок Северный, дом 7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, с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10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мая 2023 года по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18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мая 2023 года.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с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1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0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мая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2023 года по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18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мая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LibreOffice/7.4.2.3$Windows_X86_64 LibreOffice_project/382eef1f22670f7f4118c8c2dd222ec7ad009daf</Application>
  <AppVersion>15.0000</AppVersion>
  <Pages>1</Pages>
  <Words>234</Words>
  <Characters>1615</Characters>
  <CharactersWithSpaces>1881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2023-03-21T12:10:18Z</cp:lastPrinted>
  <dcterms:modified xsi:type="dcterms:W3CDTF">2023-05-10T08:08:53Z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