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4111" w:leader="none"/>
        </w:tabs>
        <w:bidi w:val="0"/>
        <w:jc w:val="left"/>
        <w:rPr>
          <w:rFonts w:ascii="Tinos" w:hAnsi="Tinos"/>
        </w:rPr>
      </w:pPr>
      <w:r>
        <w:rPr>
          <w:rFonts w:ascii="Tinos" w:hAnsi="Tinos"/>
        </w:rPr>
        <w:t xml:space="preserve">Проект                                                           </w:t>
      </w:r>
      <w:r>
        <w:rPr>
          <w:rFonts w:ascii="Tinos" w:hAnsi="Tinos"/>
        </w:rPr>
        <w:drawing>
          <wp:inline distT="0" distB="0" distL="0" distR="0">
            <wp:extent cx="510540" cy="61722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42" t="-3522" r="-4242" b="-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ind w:hanging="0" w:left="-17" w:right="0"/>
        <w:rPr>
          <w:rFonts w:ascii="Tinos" w:hAnsi="Tinos"/>
          <w:sz w:val="22"/>
        </w:rPr>
      </w:pPr>
      <w:r>
        <w:rPr>
          <w:rFonts w:ascii="Tinos" w:hAnsi="Tinos"/>
          <w:sz w:val="22"/>
        </w:rPr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center"/>
        <w:rPr>
          <w:rFonts w:ascii="Tinos" w:hAnsi="Tinos"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АДМИНИСТРАЦИЯ ТОТЕМСКОГО</w:t>
      </w:r>
      <w:r>
        <w:rPr>
          <w:rFonts w:ascii="Tinos" w:hAnsi="Tinos"/>
          <w:b/>
          <w:sz w:val="29"/>
        </w:rPr>
        <w:t xml:space="preserve"> </w:t>
      </w:r>
      <w:r>
        <w:rPr>
          <w:rFonts w:ascii="Tinos" w:hAnsi="Tinos"/>
          <w:b/>
          <w:sz w:val="28"/>
        </w:rPr>
        <w:t>МУНИЦИПАЛЬНОГО ОКРУГА</w:t>
      </w:r>
    </w:p>
    <w:p>
      <w:pPr>
        <w:pStyle w:val="Normal"/>
        <w:widowControl/>
        <w:numPr>
          <w:ilvl w:val="0"/>
          <w:numId w:val="0"/>
        </w:numPr>
        <w:bidi w:val="0"/>
        <w:ind w:hanging="0" w:left="-17" w:right="0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Heading4"/>
        <w:bidi w:val="0"/>
        <w:ind w:hanging="0" w:left="0" w:right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>
      <w:pPr>
        <w:pStyle w:val="Normal"/>
        <w:numPr>
          <w:ilvl w:val="0"/>
          <w:numId w:val="0"/>
        </w:numPr>
        <w:bidi w:val="0"/>
        <w:ind w:hanging="0" w:left="-17" w:right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numPr>
          <w:ilvl w:val="0"/>
          <w:numId w:val="0"/>
        </w:numPr>
        <w:bidi w:val="0"/>
        <w:ind w:hanging="0" w:left="-17" w:right="0"/>
        <w:rPr>
          <w:rFonts w:ascii="Tinos" w:hAnsi="Tinos"/>
        </w:rPr>
      </w:pPr>
      <w:r>
        <w:rPr>
          <w:rFonts w:ascii="Tinos" w:hAnsi="Tinos"/>
          <w:sz w:val="29"/>
        </w:rPr>
        <w:t xml:space="preserve">От </w:t>
      </w:r>
      <w:r>
        <w:rPr>
          <w:rFonts w:ascii="Tinos" w:hAnsi="Tinos"/>
          <w:sz w:val="29"/>
        </w:rPr>
        <w:t>_______</w:t>
      </w:r>
      <w:r>
        <w:rPr>
          <w:rFonts w:ascii="Tinos" w:hAnsi="Tinos"/>
          <w:sz w:val="29"/>
        </w:rPr>
        <w:t xml:space="preserve">                                                                                           № </w:t>
      </w:r>
      <w:r>
        <w:rPr>
          <w:rFonts w:ascii="Tinos" w:hAnsi="Tinos"/>
          <w:sz w:val="29"/>
        </w:rPr>
        <w:t>________</w:t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center"/>
        <w:rPr>
          <w:sz w:val="28"/>
        </w:rPr>
      </w:pPr>
      <w:r>
        <w:rPr>
          <w:rFonts w:ascii="Tinos" w:hAnsi="Tinos"/>
        </w:rPr>
        <w:t>г. Тотьма</w:t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both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both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both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bidi w:val="0"/>
        <w:spacing w:before="0" w:after="0"/>
        <w:ind w:hanging="0" w:left="0" w:right="0"/>
        <w:contextualSpacing/>
        <w:jc w:val="left"/>
        <w:rPr>
          <w:sz w:val="28"/>
        </w:rPr>
      </w:pPr>
      <w:r>
        <w:rPr>
          <w:rFonts w:ascii="Tinos" w:hAnsi="Tinos"/>
          <w:color w:val="000000"/>
          <w:spacing w:val="0"/>
          <w:sz w:val="28"/>
        </w:rPr>
        <w:t xml:space="preserve">О внесении изменений  в постановление </w:t>
      </w:r>
    </w:p>
    <w:p>
      <w:pPr>
        <w:pStyle w:val="Normal"/>
        <w:bidi w:val="0"/>
        <w:spacing w:before="0" w:after="0"/>
        <w:ind w:hanging="0" w:left="0" w:right="0"/>
        <w:contextualSpacing/>
        <w:jc w:val="left"/>
        <w:rPr>
          <w:sz w:val="28"/>
        </w:rPr>
      </w:pPr>
      <w:r>
        <w:rPr>
          <w:rFonts w:ascii="Tinos" w:hAnsi="Tinos"/>
          <w:color w:val="000000"/>
          <w:spacing w:val="0"/>
          <w:sz w:val="28"/>
        </w:rPr>
        <w:t>администрации Тотемского муниципального</w:t>
      </w:r>
    </w:p>
    <w:p>
      <w:pPr>
        <w:pStyle w:val="Normal"/>
        <w:widowControl/>
        <w:bidi w:val="0"/>
        <w:ind w:hanging="0" w:left="0" w:right="0"/>
        <w:jc w:val="both"/>
        <w:rPr>
          <w:sz w:val="28"/>
        </w:rPr>
      </w:pPr>
      <w:r>
        <w:rPr>
          <w:rFonts w:ascii="Tinos" w:hAnsi="Tinos"/>
          <w:color w:val="000000"/>
          <w:spacing w:val="0"/>
          <w:sz w:val="28"/>
        </w:rPr>
        <w:t>района от 18 апреля 2023 года  №489</w:t>
      </w:r>
    </w:p>
    <w:p>
      <w:pPr>
        <w:pStyle w:val="Normal"/>
        <w:bidi w:val="0"/>
        <w:ind w:hanging="17" w:left="-17" w:right="0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bidi w:val="0"/>
        <w:ind w:hanging="17" w:left="-17" w:right="0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bidi w:val="0"/>
        <w:ind w:hanging="17" w:left="-17" w:right="0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sz w:val="28"/>
        </w:rPr>
      </w:pPr>
      <w:r>
        <w:rPr>
          <w:rFonts w:ascii="Tinos" w:hAnsi="Tinos"/>
          <w:sz w:val="28"/>
        </w:rPr>
        <w:t xml:space="preserve">Руководствуясь статьей 42 Устава Тотемского муниципального </w:t>
      </w:r>
      <w:r>
        <w:rPr>
          <w:rFonts w:ascii="Tinos" w:hAnsi="Tinos"/>
          <w:color w:val="000000"/>
          <w:sz w:val="28"/>
        </w:rPr>
        <w:t>округа</w:t>
      </w:r>
      <w:r>
        <w:rPr>
          <w:rFonts w:ascii="Tinos" w:hAnsi="Tinos"/>
          <w:sz w:val="28"/>
        </w:rPr>
        <w:t xml:space="preserve"> Вологодской области</w:t>
      </w:r>
      <w:r>
        <w:rPr>
          <w:rFonts w:ascii="Tinos" w:hAnsi="Tinos"/>
          <w:color w:val="00000A"/>
          <w:sz w:val="28"/>
        </w:rPr>
        <w:t xml:space="preserve">, </w:t>
      </w:r>
      <w:r>
        <w:rPr>
          <w:rFonts w:ascii="Tinos" w:hAnsi="Tinos"/>
          <w:b/>
          <w:color w:val="00000A"/>
          <w:sz w:val="28"/>
        </w:rPr>
        <w:t>ПОСТАНОВЛЯЕТ:</w:t>
      </w:r>
    </w:p>
    <w:p>
      <w:pPr>
        <w:pStyle w:val="Normal"/>
        <w:bidi w:val="0"/>
        <w:spacing w:before="0" w:after="200"/>
        <w:contextualSpacing/>
        <w:jc w:val="both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rFonts w:ascii="XO Thames" w:hAnsi="XO Thames"/>
          <w:sz w:val="28"/>
        </w:rPr>
      </w:pPr>
      <w:r>
        <w:rPr>
          <w:rFonts w:ascii="Tinos" w:hAnsi="Tinos"/>
          <w:sz w:val="28"/>
        </w:rPr>
        <w:t>1</w:t>
      </w:r>
      <w:r>
        <w:rPr>
          <w:rFonts w:ascii="Tinos" w:hAnsi="Tinos"/>
          <w:sz w:val="28"/>
        </w:rPr>
        <w:t>. Внести в административный регламент</w:t>
      </w:r>
      <w:r>
        <w:rPr>
          <w:rFonts w:ascii="Tinos" w:hAnsi="Tinos"/>
          <w:color w:val="000000"/>
          <w:sz w:val="28"/>
        </w:rPr>
        <w:t xml:space="preserve"> предоставления муниципальной услуги </w:t>
      </w:r>
      <w:r>
        <w:rPr>
          <w:rFonts w:ascii="Tinos" w:hAnsi="Tinos"/>
          <w:color w:val="000000"/>
          <w:spacing w:val="-4"/>
          <w:sz w:val="28"/>
        </w:rPr>
        <w:t xml:space="preserve">по  принятию решения о </w:t>
      </w:r>
      <w:r>
        <w:rPr>
          <w:rFonts w:ascii="Tinos" w:hAnsi="Tinos"/>
          <w:sz w:val="28"/>
        </w:rPr>
        <w:t xml:space="preserve">подготовке и об утверждении документации по планировке территории, утвержденный постановлением </w:t>
      </w:r>
      <w:r>
        <w:rPr>
          <w:rFonts w:ascii="Tinos" w:hAnsi="Tinos"/>
          <w:color w:val="000000"/>
          <w:sz w:val="28"/>
        </w:rPr>
        <w:t>администрации Тотемского муниципального округа от 18.04.2023 года №489 следующие изменения</w:t>
      </w:r>
      <w:r>
        <w:rPr>
          <w:rFonts w:ascii="Tinos" w:hAnsi="Tinos"/>
          <w:sz w:val="28"/>
        </w:rPr>
        <w:t>:</w:t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rFonts w:ascii="XO Thames" w:hAnsi="XO Thames"/>
          <w:sz w:val="28"/>
        </w:rPr>
      </w:pPr>
      <w:r>
        <w:rPr>
          <w:rFonts w:ascii="Tinos" w:hAnsi="Tinos"/>
          <w:color w:val="000000"/>
          <w:sz w:val="28"/>
          <w:szCs w:val="28"/>
          <w:shd w:fill="auto" w:val="clear"/>
        </w:rPr>
        <w:t>1.</w:t>
      </w:r>
      <w:r>
        <w:rPr>
          <w:rFonts w:ascii="Tinos" w:hAnsi="Tinos"/>
          <w:color w:val="000000"/>
          <w:sz w:val="28"/>
          <w:szCs w:val="28"/>
          <w:shd w:fill="auto" w:val="clear"/>
        </w:rPr>
        <w:t>1</w:t>
      </w:r>
      <w:r>
        <w:rPr>
          <w:rFonts w:ascii="Tinos" w:hAnsi="Tinos"/>
          <w:color w:val="000000"/>
          <w:sz w:val="28"/>
          <w:szCs w:val="28"/>
          <w:shd w:fill="auto" w:val="clear"/>
        </w:rPr>
        <w:t xml:space="preserve">.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Пункт 2.3 дополнить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подпунктом 2.3.4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абзацами следующего содержания:</w:t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rFonts w:ascii="XO Thames" w:hAnsi="XO Thames"/>
          <w:sz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rFonts w:ascii="XO Thames" w:hAnsi="XO Thames"/>
          <w:sz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BodyText"/>
        <w:widowControl/>
        <w:bidi w:val="0"/>
        <w:spacing w:lineRule="atLeast" w:line="0" w:before="0" w:after="283"/>
        <w:ind w:hanging="0" w:left="0" w:right="0"/>
        <w:jc w:val="both"/>
        <w:rPr/>
      </w:pPr>
      <w:bookmarkStart w:id="0" w:name="v1p_100670"/>
      <w:bookmarkEnd w:id="0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BodyText"/>
        <w:widowControl/>
        <w:bidi w:val="0"/>
        <w:spacing w:lineRule="atLeast" w:line="0" w:before="0" w:after="283"/>
        <w:ind w:hanging="0" w:left="0" w:right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1.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п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ункт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3.3.5.5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заменить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слова и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цифр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ы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«20 рабочих дней» на «15 рабочих дней».</w:t>
      </w:r>
    </w:p>
    <w:p>
      <w:pPr>
        <w:pStyle w:val="BodyText"/>
        <w:widowControl/>
        <w:bidi w:val="0"/>
        <w:spacing w:lineRule="atLeast" w:line="0" w:before="0" w:after="283"/>
        <w:ind w:hanging="0" w:left="0" w:right="0"/>
        <w:jc w:val="both"/>
        <w:rPr/>
      </w:pPr>
      <w:r>
        <w:rPr>
          <w:rFonts w:ascii="Tinos" w:hAnsi="Tinos"/>
          <w:b w:val="false"/>
          <w:color w:val="00000A"/>
          <w:sz w:val="28"/>
        </w:rPr>
        <w:tab/>
        <w:t>2</w:t>
      </w:r>
      <w:r>
        <w:rPr>
          <w:rFonts w:ascii="Tinos" w:hAnsi="Tinos"/>
          <w:b w:val="false"/>
          <w:color w:val="00000A"/>
          <w:sz w:val="28"/>
        </w:rPr>
        <w:t>.</w:t>
      </w:r>
      <w:r>
        <w:rPr>
          <w:rFonts w:ascii="Tinos" w:hAnsi="Tinos"/>
          <w:b/>
          <w:color w:val="00000A"/>
          <w:sz w:val="28"/>
        </w:rPr>
        <w:t xml:space="preserve"> </w:t>
      </w:r>
      <w:r>
        <w:rPr>
          <w:rFonts w:ascii="Tinos" w:hAnsi="Tinos"/>
          <w:b w:val="false"/>
          <w:color w:val="000000"/>
          <w:sz w:val="28"/>
        </w:rPr>
        <w:t>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округа.</w:t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  <w:t xml:space="preserve">Глава Тотемского муниципального округа        </w:t>
        <w:tab/>
        <w:tab/>
        <w:t xml:space="preserve">                     С.Л. Селянин</w:t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sz w:val="20"/>
          <w:szCs w:val="20"/>
        </w:rPr>
        <w:t>Подготовлено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sz w:val="20"/>
          <w:szCs w:val="20"/>
        </w:rPr>
        <w:t>15</w:t>
      </w:r>
      <w:r>
        <w:rPr>
          <w:rFonts w:ascii="Times New Roman" w:hAnsi="Times New Roman"/>
          <w:b w:val="false"/>
          <w:sz w:val="20"/>
          <w:szCs w:val="20"/>
        </w:rPr>
        <w:t>.0</w:t>
      </w:r>
      <w:r>
        <w:rPr>
          <w:rFonts w:ascii="Times New Roman" w:hAnsi="Times New Roman"/>
          <w:b w:val="false"/>
          <w:sz w:val="20"/>
          <w:szCs w:val="20"/>
        </w:rPr>
        <w:t>1</w:t>
      </w:r>
      <w:r>
        <w:rPr>
          <w:rFonts w:ascii="Times New Roman" w:hAnsi="Times New Roman"/>
          <w:b w:val="false"/>
          <w:sz w:val="20"/>
          <w:szCs w:val="20"/>
        </w:rPr>
        <w:t>.202</w:t>
      </w:r>
      <w:r>
        <w:rPr>
          <w:rFonts w:ascii="Times New Roman" w:hAnsi="Times New Roman"/>
          <w:b w:val="false"/>
          <w:sz w:val="20"/>
          <w:szCs w:val="20"/>
        </w:rPr>
        <w:t>5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>Куканова А.С.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sz w:val="20"/>
          <w:szCs w:val="20"/>
        </w:rPr>
        <w:t>Рассылка: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sz w:val="20"/>
          <w:szCs w:val="20"/>
        </w:rPr>
        <w:t>дело-1 экз.</w:t>
      </w:r>
    </w:p>
    <w:p>
      <w:pPr>
        <w:pStyle w:val="Normal"/>
        <w:widowControl/>
        <w:bidi w:val="0"/>
        <w:spacing w:lineRule="atLeast" w:line="0" w:before="0" w:after="0"/>
        <w:ind w:hanging="0" w:left="0" w:right="0"/>
        <w:jc w:val="both"/>
        <w:rPr>
          <w:rFonts w:ascii="Times New Roman" w:hAnsi="Times New Roman"/>
          <w:b w:val="false"/>
          <w:color w:val="000000"/>
          <w:sz w:val="20"/>
          <w:szCs w:val="20"/>
        </w:rPr>
      </w:pPr>
      <w:r>
        <w:rPr>
          <w:rFonts w:ascii="Times New Roman" w:hAnsi="Times New Roman"/>
          <w:b w:val="false"/>
          <w:color w:val="000000"/>
          <w:sz w:val="20"/>
          <w:szCs w:val="20"/>
        </w:rPr>
        <w:t>Отдел архитектуры  1 экз. с гербовой печатью.</w:t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Tinos">
    <w:charset w:val="cc"/>
    <w:family w:val="auto"/>
    <w:pitch w:val="variable"/>
  </w:font>
  <w:font w:name="XO Thames">
    <w:charset w:val="cc"/>
    <w:family w:val="roman"/>
    <w:pitch w:val="default"/>
  </w:font>
  <w:font w:name="Times New Roman">
    <w:charset w:val="cc"/>
    <w:family w:val="roman"/>
    <w:pitch w:val="default"/>
  </w:font>
  <w:font w:name="PT Astra Serif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LibreOffice/24.8.4.2$Windows_X86_64 LibreOffice_project/bb3cfa12c7b1bf994ecc5649a80400d06cd71002</Application>
  <AppVersion>15.0000</AppVersion>
  <Pages>2</Pages>
  <Words>286</Words>
  <Characters>2159</Characters>
  <CharactersWithSpaces>2601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:language>ru-RU</dc:language>
  <dc:subject/>
  <dc:title>Default</dc:title>
</cp:coreProperties>
</file>