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jc w:val="center"/>
        <w:rPr>
          <w:rFonts w:ascii="Tinos" w:hAnsi="Tinos"/>
          <w:color w:val="auto"/>
          <w:sz w:val="28"/>
          <w:szCs w:val="28"/>
        </w:rPr>
      </w:pPr>
      <w:r>
        <w:rPr/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center"/>
        <w:rPr>
          <w:rFonts w:ascii="Tinos" w:hAnsi="Tinos"/>
          <w:b/>
          <w:b/>
          <w:color w:val="auto"/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</w:r>
    </w:p>
    <w:p>
      <w:pPr>
        <w:pStyle w:val="Normal"/>
        <w:bidi w:val="0"/>
        <w:jc w:val="center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4"/>
        <w:bidi w:val="0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>ПОСТАНОВЛЕНИЕ</w:t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 xml:space="preserve">От                                                                                             № </w:t>
      </w:r>
    </w:p>
    <w:p>
      <w:pPr>
        <w:pStyle w:val="Normal"/>
        <w:bidi w:val="0"/>
        <w:jc w:val="center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>г. Тотьма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от 17 июня 2024 года № 813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ind w:left="0" w:right="0" w:firstLine="737"/>
        <w:jc w:val="both"/>
        <w:rPr>
          <w:rFonts w:ascii="Tinos" w:hAnsi="Tinos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nos" w:hAnsi="Tinos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1. Внести в административный регламент предоставления муниципальной услуги по установлению сервитута (публичного сервитута) в отношении земельного участка, находящегося в муниципальной собственности, либо государственная собственность на который не разграничена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, утвержденный постановлением администрации Тотемского муниципального округа от 17 июня 2024 года № 813 (с изменениями), следующие изменения: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1.1.  В пункте 1.1: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а) в подпункте 1 (во втором случае) </w:t>
      </w:r>
      <w:r>
        <w:rPr>
          <w:rStyle w:val="3"/>
          <w:rFonts w:cs="Times New Roman" w:ascii="Tinos" w:hAnsi="Tinos"/>
          <w:b w:val="false"/>
          <w:bCs w:val="false"/>
          <w:i w:val="false"/>
          <w:color w:val="000000"/>
          <w:sz w:val="28"/>
          <w:szCs w:val="28"/>
        </w:rPr>
        <w:t xml:space="preserve">после слова «нефтепродуктопроводов,» дополнить словами «трубопроводов для продуктов переработки нефти и газа,». 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i w:val="false"/>
          <w:color w:val="000000"/>
          <w:sz w:val="28"/>
          <w:szCs w:val="28"/>
        </w:rPr>
        <w:t>б) в</w:t>
      </w:r>
      <w:r>
        <w:rPr>
          <w:rStyle w:val="3"/>
          <w:rFonts w:cs="Times New Roman" w:ascii="Tinos" w:hAnsi="Tinos"/>
          <w:b w:val="false"/>
          <w:bCs w:val="false"/>
          <w:i w:val="false"/>
          <w:color w:val="auto"/>
          <w:sz w:val="28"/>
          <w:szCs w:val="28"/>
        </w:rPr>
        <w:t xml:space="preserve"> подпункте 2  (в третьем случае) слова «</w:t>
      </w:r>
      <w:r>
        <w:rPr>
          <w:rStyle w:val="3"/>
          <w:rFonts w:cs="Times New Roman" w:ascii="Tinos" w:hAnsi="Tinos"/>
          <w:b w:val="false"/>
          <w:bCs w:val="false"/>
          <w:i w:val="false"/>
          <w:color w:val="000000"/>
          <w:sz w:val="28"/>
          <w:szCs w:val="28"/>
        </w:rPr>
        <w:t>и подъездов к ним» заменить словами «и обеспечения доступа к ним».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i w:val="false"/>
          <w:color w:val="000000"/>
          <w:sz w:val="28"/>
          <w:szCs w:val="28"/>
        </w:rPr>
        <w:t>1.2. Пункт 2.3 дополнить абзацами следующего содержания: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Style w:val="3"/>
          <w:rFonts w:cs="Times New Roman" w:ascii="Tinos" w:hAnsi="Tinos"/>
          <w:b w:val="false"/>
          <w:bCs w:val="false"/>
          <w:i w:val="false"/>
          <w:color w:val="000000"/>
          <w:sz w:val="28"/>
          <w:szCs w:val="28"/>
        </w:rPr>
        <w:tab/>
        <w:t>«</w:t>
      </w:r>
      <w:r>
        <w:rPr>
          <w:rFonts w:ascii="Tinos" w:hAnsi="Tinos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Style16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bookmarkStart w:id="0" w:name="p_100670"/>
      <w:bookmarkEnd w:id="0"/>
      <w:r>
        <w:rPr>
          <w:rFonts w:ascii="Tinos" w:hAnsi="Tinos"/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nos" w:hAnsi="Tinos"/>
          <w:color w:val="auto"/>
          <w:sz w:val="28"/>
          <w:szCs w:val="28"/>
        </w:rPr>
      </w:pPr>
      <w:r>
        <w:rPr>
          <w:rFonts w:eastAsia="SimSun" w:cs="Times New Roman" w:ascii="Tinos" w:hAnsi="Tino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>Малышева О.В.</w:t>
      </w:r>
    </w:p>
    <w:p>
      <w:pPr>
        <w:pStyle w:val="Normal"/>
        <w:bidi w:val="0"/>
        <w:jc w:val="left"/>
        <w:rPr>
          <w:rFonts w:ascii="Tinos" w:hAnsi="Tinos"/>
          <w:color w:val="auto"/>
          <w:sz w:val="28"/>
          <w:szCs w:val="28"/>
        </w:rPr>
      </w:pPr>
      <w:r>
        <w:rPr>
          <w:rFonts w:eastAsia="Tahoma" w:cs="Noto Sans Devanagari" w:ascii="Tinos" w:hAnsi="Tinos"/>
          <w:color w:val="auto"/>
          <w:kern w:val="2"/>
          <w:sz w:val="28"/>
          <w:szCs w:val="28"/>
          <w:lang w:val="ru-RU" w:eastAsia="zh-CN" w:bidi="hi-IN"/>
        </w:rPr>
        <w:t>КИО</w:t>
      </w:r>
      <w:r>
        <w:rPr>
          <w:rFonts w:ascii="Tinos" w:hAnsi="Tinos"/>
          <w:color w:val="auto"/>
          <w:sz w:val="28"/>
          <w:szCs w:val="28"/>
        </w:rPr>
        <w:t xml:space="preserve">-1,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6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LibreOffice/6.4.7.2$Linux_X86_64 LibreOffice_project/40$Build-2</Application>
  <Pages>2</Pages>
  <Words>289</Words>
  <Characters>2242</Characters>
  <CharactersWithSpaces>2637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2025-01-10T08:37:52Z</dcterms:created>
  <dc:creator/>
  <dc:description/>
  <dc:language>ru-RU</dc:language>
  <cp:lastModifiedBy/>
  <dcterms:modified xsi:type="dcterms:W3CDTF">2025-01-14T15:56:54Z</dcterms:modified>
  <cp:revision>4</cp:revision>
  <dc:subject/>
  <dc:title/>
</cp:coreProperties>
</file>